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AD" w:rsidRDefault="00101837">
      <w:pPr>
        <w:spacing w:after="120"/>
        <w:ind w:firstLine="709"/>
        <w:jc w:val="center"/>
      </w:pPr>
      <w:r>
        <w:rPr>
          <w:rFonts w:ascii="Times New Roman CYR" w:hAnsi="Times New Roman CYR" w:cs="Times New Roman CYR"/>
          <w:b/>
          <w:bCs/>
          <w:color w:val="00000A"/>
        </w:rPr>
        <w:t xml:space="preserve">Дополнительное соглашение к Договору № ___ </w:t>
      </w:r>
      <w:r w:rsidRPr="00735BE5">
        <w:rPr>
          <w:rFonts w:ascii="Times New Roman CYR" w:hAnsi="Times New Roman CYR" w:cs="Times New Roman CYR"/>
          <w:b/>
          <w:bCs/>
          <w:color w:val="00000A"/>
        </w:rPr>
        <w:t>от “____</w:t>
      </w:r>
      <w:r w:rsidR="00735BE5" w:rsidRPr="00735BE5">
        <w:rPr>
          <w:rFonts w:ascii="Times New Roman CYR" w:hAnsi="Times New Roman CYR" w:cs="Times New Roman CYR"/>
          <w:b/>
          <w:bCs/>
          <w:color w:val="00000A"/>
        </w:rPr>
        <w:t>_” _</w:t>
      </w:r>
      <w:r w:rsidRPr="00735BE5">
        <w:rPr>
          <w:rFonts w:ascii="Times New Roman CYR" w:hAnsi="Times New Roman CYR" w:cs="Times New Roman CYR"/>
          <w:b/>
          <w:bCs/>
          <w:color w:val="00000A"/>
        </w:rPr>
        <w:t>___________20 ___ г.</w:t>
      </w:r>
    </w:p>
    <w:p w:rsidR="001973AD" w:rsidRDefault="00101837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 CYR" w:hAnsi="Times New Roman CYR" w:cs="Times New Roman CYR"/>
          <w:b/>
          <w:bCs/>
          <w:color w:val="00000A"/>
        </w:rPr>
        <w:t xml:space="preserve">о присоединении к условиям </w:t>
      </w:r>
      <w:r>
        <w:rPr>
          <w:rFonts w:ascii="Times New Roman" w:hAnsi="Times New Roman" w:cs="Times New Roman"/>
          <w:b/>
          <w:bCs/>
          <w:color w:val="00000A"/>
        </w:rPr>
        <w:t>«</w:t>
      </w:r>
      <w:r>
        <w:rPr>
          <w:rFonts w:ascii="Times New Roman CYR" w:hAnsi="Times New Roman CYR" w:cs="Times New Roman CYR"/>
          <w:b/>
          <w:bCs/>
          <w:color w:val="00000A"/>
        </w:rPr>
        <w:t>Посылка для бизнеса</w:t>
      </w:r>
      <w:r>
        <w:rPr>
          <w:rFonts w:ascii="Times New Roman" w:hAnsi="Times New Roman" w:cs="Times New Roman"/>
          <w:b/>
          <w:bCs/>
          <w:color w:val="00000A"/>
        </w:rPr>
        <w:t>»</w:t>
      </w:r>
    </w:p>
    <w:p w:rsidR="001973AD" w:rsidRDefault="001973AD">
      <w:pPr>
        <w:spacing w:after="120"/>
        <w:ind w:firstLine="709"/>
        <w:jc w:val="center"/>
        <w:rPr>
          <w:rFonts w:ascii="Calibri" w:hAnsi="Calibri" w:cs="Calibri"/>
        </w:rPr>
      </w:pPr>
    </w:p>
    <w:p w:rsidR="001973AD" w:rsidRDefault="00101837">
      <w:pPr>
        <w:spacing w:after="120"/>
        <w:jc w:val="center"/>
        <w:rPr>
          <w:rFonts w:ascii="Times New Roman CYR" w:hAnsi="Times New Roman CYR" w:cs="Times New Roman CYR"/>
          <w:b/>
          <w:bCs/>
          <w:color w:val="00000A"/>
        </w:rPr>
      </w:pPr>
      <w:r>
        <w:rPr>
          <w:rFonts w:ascii="Times New Roman CYR" w:hAnsi="Times New Roman CYR" w:cs="Times New Roman CYR"/>
          <w:b/>
          <w:bCs/>
          <w:color w:val="00000A"/>
        </w:rPr>
        <w:t xml:space="preserve">г. </w:t>
      </w:r>
      <w:proofErr w:type="spellStart"/>
      <w:r>
        <w:rPr>
          <w:rFonts w:ascii="Times New Roman CYR" w:hAnsi="Times New Roman CYR" w:cs="Times New Roman CYR"/>
          <w:b/>
          <w:bCs/>
          <w:color w:val="00000A"/>
        </w:rPr>
        <w:t>Нур</w:t>
      </w:r>
      <w:proofErr w:type="spellEnd"/>
      <w:r>
        <w:rPr>
          <w:rFonts w:ascii="Times New Roman CYR" w:hAnsi="Times New Roman CYR" w:cs="Times New Roman CYR"/>
          <w:b/>
          <w:bCs/>
          <w:color w:val="00000A"/>
        </w:rPr>
        <w:t>-Султан</w:t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 CYR" w:hAnsi="Times New Roman CYR" w:cs="Times New Roman CYR"/>
          <w:b/>
          <w:bCs/>
          <w:color w:val="00000A"/>
        </w:rPr>
        <w:tab/>
      </w:r>
      <w:r>
        <w:rPr>
          <w:rFonts w:ascii="Times New Roman" w:hAnsi="Times New Roman" w:cs="Times New Roman"/>
          <w:b/>
          <w:bCs/>
          <w:color w:val="00000A"/>
        </w:rPr>
        <w:t xml:space="preserve"> «___» _____________2020 </w:t>
      </w:r>
      <w:r>
        <w:rPr>
          <w:rFonts w:ascii="Times New Roman CYR" w:hAnsi="Times New Roman CYR" w:cs="Times New Roman CYR"/>
          <w:b/>
          <w:bCs/>
          <w:color w:val="00000A"/>
        </w:rPr>
        <w:t>года</w:t>
      </w:r>
    </w:p>
    <w:p w:rsidR="001973AD" w:rsidRDefault="00101837">
      <w:pPr>
        <w:spacing w:after="0"/>
        <w:jc w:val="center"/>
        <w:rPr>
          <w:rFonts w:ascii="Times New Roman CYR" w:hAnsi="Times New Roman CYR" w:cs="Times New Roman CYR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A"/>
        </w:rPr>
        <w:t>Общие положения</w:t>
      </w:r>
    </w:p>
    <w:p w:rsidR="001973AD" w:rsidRDefault="00101837">
      <w:pPr>
        <w:spacing w:after="0"/>
        <w:ind w:firstLine="425"/>
        <w:jc w:val="both"/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применяются в отношении Клиента, заключившего генеральный договор транспортной экспедиции (далее –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Генеральный договор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»)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и присоединившегося к Правилам оказания транспортно-экспедиционных услуг, утвержденных приказом директора ТОО «GTD </w:t>
      </w:r>
      <w:proofErr w:type="spellStart"/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Logistics</w:t>
      </w:r>
      <w:proofErr w:type="spellEnd"/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» № 2А от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«27»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декабря 2019 года (далее -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Правила ТЭУ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»)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и с Приложением № 5 к Правилам ТЭУ -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Транспортная экспедиция малогабаритных грузов по специальным условиям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»).</w:t>
      </w:r>
    </w:p>
    <w:p w:rsidR="001973AD" w:rsidRDefault="00101837">
      <w:pPr>
        <w:spacing w:after="0"/>
        <w:ind w:firstLine="425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Подписывая настоящее соглашение, Клиент подтверждает присоединение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ко всем обозначенным выше актам. </w:t>
      </w:r>
    </w:p>
    <w:p w:rsidR="001973AD" w:rsidRDefault="00101837">
      <w:pPr>
        <w:spacing w:after="0"/>
        <w:ind w:firstLine="425"/>
        <w:jc w:val="both"/>
        <w:rPr>
          <w:rFonts w:ascii="Times New Roman" w:hAnsi="Times New Roman" w:cs="Times New Roman"/>
          <w:color w:val="00000A"/>
          <w:spacing w:val="-6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В случае противоречия условий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правил ТЭУ и Генерального договора условиям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приоритет имеют условия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».</w:t>
      </w:r>
    </w:p>
    <w:p w:rsidR="001973AD" w:rsidRDefault="00101837">
      <w:pPr>
        <w:spacing w:after="0"/>
        <w:ind w:firstLine="426"/>
        <w:jc w:val="both"/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До оказания услуг на условиях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Клиент самостоятельно проходит регистрацию в личном кабинете на сайте </w:t>
      </w:r>
      <w:hyperlink r:id="rId4">
        <w:r>
          <w:rPr>
            <w:rStyle w:val="ListLabel1"/>
          </w:rPr>
          <w:t>https://cabinet.gtdel.com/</w:t>
        </w:r>
      </w:hyperlink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ЛК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где Клиентом совершаются фактические и юридические действия в соответствие с предоставленными инс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трукциями; стороны согласовывают терминал, на котором будет производиться выдача тары для пополнения первичного запаса, а также прием и оформление груза.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Для получения услуг на условиях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Клиент, путем направления заявки, сообщает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Экспедитору количество и ассортимент тары, необходимой в качестве первичного запаса для осуществления последующих отправок груза. Экспедитор осуществляет подготовку и резервирование тары на условиях заявки (п. 3.1.), после чего подтверждает ее наличие на с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огласованном терминале, путем направления клиенту подписанного Реестра приема-передачи тары.</w:t>
      </w:r>
    </w:p>
    <w:p w:rsidR="001973AD" w:rsidRDefault="001973AD">
      <w:pPr>
        <w:spacing w:after="0"/>
        <w:ind w:firstLine="426"/>
        <w:jc w:val="center"/>
        <w:rPr>
          <w:rFonts w:ascii="Calibri" w:hAnsi="Calibri" w:cs="Calibri"/>
        </w:rPr>
      </w:pPr>
    </w:p>
    <w:p w:rsidR="001973AD" w:rsidRDefault="00101837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A"/>
          <w:spacing w:val="-6"/>
          <w:sz w:val="24"/>
          <w:szCs w:val="24"/>
        </w:rPr>
        <w:t xml:space="preserve">Порядок передачи груза к экспедированию на условиях </w:t>
      </w: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>»</w:t>
      </w:r>
    </w:p>
    <w:p w:rsidR="001973AD" w:rsidRDefault="00101837">
      <w:pPr>
        <w:spacing w:after="0"/>
        <w:ind w:firstLine="426"/>
        <w:jc w:val="both"/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Прием груза к экспедированию осуществляется исключительно на терминале Экспедитора, при предоставлении Клиентом сопроводительных документов, подтверждающих содержимое тары (ТН, договор, УПД и др.) или декларации о грузе, бланк которой размещен на сайте </w:t>
      </w:r>
      <w:hyperlink r:id="rId5">
        <w:r>
          <w:rPr>
            <w:rStyle w:val="ListLabel2"/>
          </w:rPr>
          <w:t>https://astana.gtdel.com</w:t>
        </w:r>
      </w:hyperlink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Доставка груза до терминала Экспедитора осуществляется Клиентом самостоятельно. До передачи груза Клиент: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затаривает грузы в коробки, следуя рекомендациям Экспедитора;</w:t>
      </w:r>
    </w:p>
    <w:p w:rsidR="001973AD" w:rsidRDefault="00101837">
      <w:pPr>
        <w:spacing w:after="0"/>
        <w:ind w:firstLine="426"/>
        <w:jc w:val="both"/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создает зак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азы в ЛК на сайте </w:t>
      </w:r>
      <w:hyperlink r:id="rId6">
        <w:r>
          <w:rPr>
            <w:rStyle w:val="ListLabel1"/>
          </w:rPr>
          <w:t>https://cabinet.gtdel.com/</w:t>
        </w:r>
      </w:hyperlink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;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распечатывает в ЛК маркировку груза в формате, предназначенном для посылок;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наклеивает маркировку в специально обозначенные места на коробках;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распечатывает д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ва экземпляра Реестра приема-передачи тары и заполняет данные о количестве сформированной партии посылок.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lastRenderedPageBreak/>
        <w:t xml:space="preserve">2.3.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Груз на условиях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принимается Экспедитором только в специально предназначенной таре соответствующего типа и </w:t>
      </w:r>
      <w:r w:rsidR="00735BE5"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размера (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XS, S,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 M, L), с маркировкой, наклеенной в обозначенные на таре места. Обязанность по затариванию груза и размещению маркировки на таре несёт Клиент.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2.4.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В случае несоответствия груза и заказа Клиента требованиям условий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т.ч</w:t>
      </w:r>
      <w:proofErr w:type="spellEnd"/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., по весу, габаритам, направлениям и др., груз подлежит обязательной переупаковке в полипропиленовый мешок за отдельную плату по действующим тарифам Экспедитора.</w:t>
      </w:r>
    </w:p>
    <w:p w:rsidR="001973AD" w:rsidRDefault="001973AD">
      <w:pPr>
        <w:spacing w:after="0"/>
        <w:ind w:firstLine="426"/>
        <w:jc w:val="center"/>
        <w:rPr>
          <w:rFonts w:ascii="Calibri" w:hAnsi="Calibri" w:cs="Calibri"/>
        </w:rPr>
      </w:pPr>
    </w:p>
    <w:p w:rsidR="001973AD" w:rsidRDefault="00101837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A"/>
          <w:spacing w:val="-6"/>
          <w:sz w:val="24"/>
          <w:szCs w:val="24"/>
        </w:rPr>
        <w:t xml:space="preserve">Порядок оборота тары на условиях </w:t>
      </w: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>»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Клиент предварительно однократно оплачивает услугу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подготовка и резервирование тары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из расчета 50 рублей за одну единицу тары на весь период использования первичного запаса тары (Сумма оплачивается в национальной валюте в соответствии с курсом валюты в д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ень оплаты).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Клиент заблаговременно получает первичный запас тары на согласованном Сторонами терминале в объеме оплаченной услуги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подготовка и резервирование тары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о чём составляется акт или делается соответствующая отметка в экспедиторском документ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е.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3.3.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Первичный запас тары пополняется при каждой отправке посылок путем выдачи Клиенту тары в количестве, равном числу принятых к </w:t>
      </w:r>
      <w:r w:rsidR="00735BE5"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экспедированию 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посылок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выдача тары производится по Реестру приема-передачи тары.</w:t>
      </w:r>
    </w:p>
    <w:p w:rsidR="001973AD" w:rsidRDefault="00101837">
      <w:pPr>
        <w:spacing w:after="0"/>
        <w:ind w:firstLine="426"/>
        <w:jc w:val="both"/>
        <w:rPr>
          <w:rFonts w:ascii="Times New Roman" w:hAnsi="Times New Roman" w:cs="Times New Roman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3.4.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Клиент обязуется использовать полученную от Экспедитора тару исключительно для заказа услуг по условиям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».</w:t>
      </w:r>
    </w:p>
    <w:p w:rsidR="001973AD" w:rsidRDefault="001973AD">
      <w:pPr>
        <w:spacing w:after="0"/>
        <w:ind w:firstLine="426"/>
        <w:jc w:val="center"/>
        <w:rPr>
          <w:rFonts w:ascii="Calibri" w:hAnsi="Calibri" w:cs="Calibri"/>
        </w:rPr>
      </w:pPr>
    </w:p>
    <w:p w:rsidR="001973AD" w:rsidRDefault="00101837">
      <w:pPr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A"/>
          <w:spacing w:val="-6"/>
          <w:sz w:val="24"/>
          <w:szCs w:val="24"/>
        </w:rPr>
        <w:t xml:space="preserve">Порядок прекращения действия условий </w:t>
      </w: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>»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Посылка для бизнеса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 xml:space="preserve">прекращают действие для сторон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в случае прекращения Генерального договора по основаниям, предусмотренных действующим законодательством Республики Казахстан.</w:t>
      </w:r>
    </w:p>
    <w:p w:rsidR="001973AD" w:rsidRDefault="00101837">
      <w:pPr>
        <w:spacing w:after="0"/>
        <w:ind w:firstLine="426"/>
        <w:jc w:val="both"/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Каждая из Сторон имеет право в одностороннем внесудебном порядке отказаться от настоящего дополнительного соглашения путем на</w:t>
      </w:r>
      <w:r>
        <w:rPr>
          <w:rFonts w:ascii="Times New Roman CYR" w:hAnsi="Times New Roman CYR" w:cs="Times New Roman CYR"/>
          <w:color w:val="00000A"/>
          <w:spacing w:val="-6"/>
          <w:sz w:val="24"/>
          <w:szCs w:val="24"/>
        </w:rPr>
        <w:t>правления противоположной стороне соответствующего письменного уведомления не менее, чем за 10 (десять) календарных дней до момента отказа.</w:t>
      </w:r>
    </w:p>
    <w:p w:rsidR="001973AD" w:rsidRDefault="00101837">
      <w:pPr>
        <w:spacing w:after="0"/>
        <w:ind w:firstLine="426"/>
        <w:jc w:val="both"/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Подписывая настоящее Дополнительное соглашение к Генеральному Договору № ___ от ___________20__ года, Клиент подтвер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 xml:space="preserve">ждает, что ознакомлен с Правилами оказания транспортно-экспедиционных услуг, утвержденных Приказом Директора ТОО «GTD </w:t>
      </w:r>
      <w:proofErr w:type="spellStart"/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color w:val="00000A"/>
          <w:spacing w:val="-6"/>
          <w:sz w:val="24"/>
          <w:szCs w:val="24"/>
        </w:rPr>
        <w:t>» № 2А от «27» декабря 2019 года.</w:t>
      </w:r>
    </w:p>
    <w:p w:rsidR="001973AD" w:rsidRDefault="001973AD">
      <w:pPr>
        <w:spacing w:after="120"/>
        <w:ind w:firstLine="426"/>
        <w:jc w:val="both"/>
        <w:rPr>
          <w:rFonts w:ascii="Calibri" w:hAnsi="Calibri" w:cs="Calibri"/>
        </w:rPr>
      </w:pPr>
    </w:p>
    <w:p w:rsidR="001973AD" w:rsidRDefault="00735BE5">
      <w:pPr>
        <w:spacing w:after="0" w:line="14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>Экспеди</w:t>
      </w:r>
      <w:bookmarkStart w:id="0" w:name="_GoBack"/>
      <w:bookmarkEnd w:id="0"/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 xml:space="preserve">тор:  </w:t>
      </w:r>
      <w:r w:rsidR="00101837"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 xml:space="preserve"> </w:t>
      </w:r>
      <w:proofErr w:type="gramEnd"/>
      <w:r w:rsidR="00101837"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 xml:space="preserve">                                                                      Клиент:</w:t>
      </w:r>
    </w:p>
    <w:p w:rsidR="001973AD" w:rsidRDefault="00101837">
      <w:pPr>
        <w:spacing w:after="0" w:line="14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>Директор ТОО «</w:t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  <w:lang w:val="en-US"/>
        </w:rPr>
        <w:t>GTD</w:t>
      </w:r>
      <w:r w:rsidRPr="00735BE5"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  <w:lang w:val="en-US"/>
        </w:rPr>
        <w:t>Logistics</w:t>
      </w:r>
      <w:r w:rsidRPr="00735BE5"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>”</w:t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ab/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ab/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ab/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ab/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ab/>
      </w:r>
      <w:r>
        <w:rPr>
          <w:rFonts w:ascii="Times New Roman" w:hAnsi="Times New Roman" w:cs="Times New Roman CYR"/>
          <w:b/>
          <w:bCs/>
          <w:color w:val="00000A"/>
          <w:spacing w:val="-6"/>
          <w:sz w:val="24"/>
          <w:szCs w:val="24"/>
        </w:rPr>
        <w:tab/>
      </w:r>
    </w:p>
    <w:p w:rsidR="001973AD" w:rsidRPr="00735BE5" w:rsidRDefault="001973AD">
      <w:pPr>
        <w:spacing w:after="0" w:line="14" w:lineRule="atLeast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p w:rsidR="001973AD" w:rsidRDefault="00101837">
      <w:pPr>
        <w:spacing w:after="120"/>
        <w:jc w:val="both"/>
      </w:pPr>
      <w:r>
        <w:rPr>
          <w:rFonts w:ascii="Times New Roman" w:hAnsi="Times New Roman" w:cs="Times New Roman"/>
          <w:color w:val="00000A"/>
          <w:spacing w:val="-6"/>
          <w:sz w:val="24"/>
          <w:szCs w:val="24"/>
          <w:lang w:val="en-US"/>
        </w:rPr>
        <w:t xml:space="preserve">_______________ / </w:t>
      </w:r>
      <w:proofErr w:type="spellStart"/>
      <w:r>
        <w:rPr>
          <w:rFonts w:ascii="Times New Roman" w:hAnsi="Times New Roman" w:cs="Times New Roman"/>
          <w:color w:val="00000A"/>
          <w:spacing w:val="-6"/>
          <w:sz w:val="24"/>
          <w:szCs w:val="24"/>
          <w:lang w:val="en-US"/>
        </w:rPr>
        <w:t>Кузьменко</w:t>
      </w:r>
      <w:proofErr w:type="spellEnd"/>
      <w:r>
        <w:rPr>
          <w:rFonts w:ascii="Times New Roman" w:hAnsi="Times New Roman" w:cs="Times New Roman"/>
          <w:color w:val="00000A"/>
          <w:spacing w:val="-6"/>
          <w:sz w:val="24"/>
          <w:szCs w:val="24"/>
          <w:lang w:val="en-US"/>
        </w:rPr>
        <w:t xml:space="preserve"> Ю.В.</w:t>
      </w:r>
      <w:r>
        <w:rPr>
          <w:rFonts w:ascii="Times New Roman" w:hAnsi="Times New Roman" w:cs="Times New Roman"/>
          <w:color w:val="00000A"/>
          <w:spacing w:val="-6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A"/>
          <w:spacing w:val="-6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A"/>
          <w:spacing w:val="-6"/>
          <w:sz w:val="24"/>
          <w:szCs w:val="24"/>
          <w:lang w:val="en-US"/>
        </w:rPr>
        <w:tab/>
        <w:t>_______________ / ______________</w:t>
      </w:r>
    </w:p>
    <w:p w:rsidR="001973AD" w:rsidRDefault="001973AD"/>
    <w:sectPr w:rsidR="001973AD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3AD"/>
    <w:rsid w:val="00101837"/>
    <w:rsid w:val="001973AD"/>
    <w:rsid w:val="007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03A1E-26FD-407F-BB90-B2A68167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 CYR" w:hAnsi="Times New Roman CYR" w:cs="Times New Roman CYR"/>
      <w:color w:val="0000FF"/>
      <w:spacing w:val="-6"/>
      <w:sz w:val="24"/>
      <w:szCs w:val="24"/>
      <w:u w:val="single"/>
    </w:rPr>
  </w:style>
  <w:style w:type="character" w:customStyle="1" w:styleId="ListLabel2">
    <w:name w:val="ListLabel 2"/>
    <w:qFormat/>
    <w:rPr>
      <w:rFonts w:ascii="Times New Roman CYR" w:hAnsi="Times New Roman CYR" w:cs="Times New Roman CYR"/>
      <w:color w:val="00000A"/>
      <w:spacing w:val="-6"/>
      <w:sz w:val="24"/>
      <w:szCs w:val="24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binet.gtdel.com/" TargetMode="External"/><Relationship Id="rId5" Type="http://schemas.openxmlformats.org/officeDocument/2006/relationships/hyperlink" Target="https://astana.gtdel.com/" TargetMode="External"/><Relationship Id="rId4" Type="http://schemas.openxmlformats.org/officeDocument/2006/relationships/hyperlink" Target="https://cabinet.gtde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Наташа</cp:lastModifiedBy>
  <cp:revision>12</cp:revision>
  <dcterms:created xsi:type="dcterms:W3CDTF">2019-12-25T04:43:00Z</dcterms:created>
  <dcterms:modified xsi:type="dcterms:W3CDTF">2020-04-15T12:11:00Z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